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400CC" w14:textId="2214D7D4" w:rsidR="007911F2" w:rsidRPr="00B0741B" w:rsidRDefault="007911F2" w:rsidP="00B0741B">
      <w:pPr>
        <w:pStyle w:val="Bold"/>
        <w:jc w:val="center"/>
        <w:rPr>
          <w:sz w:val="36"/>
          <w:szCs w:val="36"/>
        </w:rPr>
      </w:pPr>
      <w:r w:rsidRPr="00B0741B">
        <w:rPr>
          <w:sz w:val="36"/>
          <w:szCs w:val="36"/>
        </w:rPr>
        <w:t>File Note</w:t>
      </w:r>
    </w:p>
    <w:p w14:paraId="24B8BD38" w14:textId="77777777" w:rsidR="00B0741B" w:rsidRPr="00B0741B" w:rsidRDefault="00B0741B" w:rsidP="00B0741B"/>
    <w:tbl>
      <w:tblPr>
        <w:tblW w:w="92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4"/>
        <w:gridCol w:w="2127"/>
        <w:gridCol w:w="2515"/>
      </w:tblGrid>
      <w:tr w:rsidR="007911F2" w14:paraId="2B1FAF50" w14:textId="77777777" w:rsidTr="00B0741B">
        <w:trPr>
          <w:trHeight w:val="586"/>
        </w:trPr>
        <w:tc>
          <w:tcPr>
            <w:tcW w:w="4644" w:type="dxa"/>
          </w:tcPr>
          <w:p w14:paraId="7DAF601B" w14:textId="279AC946" w:rsidR="007911F2" w:rsidRDefault="007911F2">
            <w:pPr>
              <w:spacing w:before="120" w:after="120"/>
            </w:pPr>
            <w:r w:rsidRPr="00B0741B">
              <w:rPr>
                <w:rStyle w:val="BoldChar"/>
              </w:rPr>
              <w:t>Date</w:t>
            </w:r>
            <w:r>
              <w:rPr>
                <w:b/>
              </w:rPr>
              <w:t xml:space="preserve">: </w:t>
            </w:r>
            <w:r w:rsidR="00662E39">
              <w:t>30 January 2026</w:t>
            </w:r>
          </w:p>
        </w:tc>
        <w:tc>
          <w:tcPr>
            <w:tcW w:w="2127" w:type="dxa"/>
          </w:tcPr>
          <w:p w14:paraId="4C06EF62" w14:textId="62847AE6" w:rsidR="007911F2" w:rsidRDefault="007911F2">
            <w:pPr>
              <w:spacing w:before="120" w:after="120"/>
            </w:pPr>
            <w:r w:rsidRPr="00B0741B">
              <w:rPr>
                <w:rStyle w:val="BoldChar"/>
              </w:rPr>
              <w:t>Time</w:t>
            </w:r>
            <w:r>
              <w:rPr>
                <w:b/>
              </w:rPr>
              <w:t>:</w:t>
            </w:r>
            <w:r>
              <w:t xml:space="preserve"> </w:t>
            </w:r>
            <w:r>
              <w:fldChar w:fldCharType="begin"/>
            </w:r>
            <w:r>
              <w:instrText xml:space="preserve"> TIME \@ "HH:mm" </w:instrText>
            </w:r>
            <w:r>
              <w:fldChar w:fldCharType="separate"/>
            </w:r>
            <w:r w:rsidR="009F425D">
              <w:rPr>
                <w:noProof/>
              </w:rPr>
              <w:t>10:41</w:t>
            </w:r>
            <w:r>
              <w:fldChar w:fldCharType="end"/>
            </w:r>
          </w:p>
        </w:tc>
        <w:tc>
          <w:tcPr>
            <w:tcW w:w="2515" w:type="dxa"/>
          </w:tcPr>
          <w:p w14:paraId="411A5AF1" w14:textId="3EE45AB0" w:rsidR="007911F2" w:rsidRDefault="007911F2">
            <w:pPr>
              <w:spacing w:before="120" w:after="120"/>
            </w:pPr>
            <w:r w:rsidRPr="00B0741B">
              <w:rPr>
                <w:rStyle w:val="BoldChar"/>
              </w:rPr>
              <w:t>File No</w:t>
            </w:r>
            <w:r>
              <w:rPr>
                <w:b/>
              </w:rPr>
              <w:t>:</w:t>
            </w:r>
            <w:r>
              <w:t xml:space="preserve"> </w:t>
            </w:r>
            <w:r w:rsidR="00662E39">
              <w:t>262156</w:t>
            </w:r>
          </w:p>
        </w:tc>
      </w:tr>
      <w:tr w:rsidR="007911F2" w14:paraId="6F160DC0" w14:textId="77777777" w:rsidTr="0062178F">
        <w:tc>
          <w:tcPr>
            <w:tcW w:w="9286" w:type="dxa"/>
            <w:gridSpan w:val="3"/>
          </w:tcPr>
          <w:p w14:paraId="799548C8" w14:textId="6835879E" w:rsidR="007911F2" w:rsidRDefault="007911F2">
            <w:pPr>
              <w:spacing w:before="120" w:after="120"/>
            </w:pPr>
            <w:r w:rsidRPr="00B0741B">
              <w:rPr>
                <w:rStyle w:val="BoldChar"/>
              </w:rPr>
              <w:t>Matter</w:t>
            </w:r>
            <w:r>
              <w:rPr>
                <w:b/>
              </w:rPr>
              <w:t xml:space="preserve">: </w:t>
            </w:r>
            <w:r w:rsidR="00662E39">
              <w:t>You ats Quilter</w:t>
            </w:r>
          </w:p>
        </w:tc>
      </w:tr>
    </w:tbl>
    <w:p w14:paraId="2A1FB69B" w14:textId="5E9E2F84" w:rsidR="0062178F" w:rsidRPr="00B0741B" w:rsidRDefault="0062178F" w:rsidP="00B0741B">
      <w:pPr>
        <w:pStyle w:val="Bold"/>
        <w:rPr>
          <w:sz w:val="22"/>
          <w:szCs w:val="22"/>
        </w:rPr>
      </w:pPr>
      <w:r w:rsidRPr="00B0741B">
        <w:t>Notes</w:t>
      </w:r>
      <w:r w:rsidRPr="00B0741B">
        <w:rPr>
          <w:sz w:val="22"/>
          <w:szCs w:val="22"/>
        </w:rPr>
        <w:t>:</w:t>
      </w:r>
    </w:p>
    <w:p w14:paraId="6671C6BA" w14:textId="77777777" w:rsidR="007A7427" w:rsidRDefault="007A7427" w:rsidP="00B0741B">
      <w:pPr>
        <w:pStyle w:val="Italics"/>
        <w:rPr>
          <w:i w:val="0"/>
          <w:iCs w:val="0"/>
        </w:rPr>
      </w:pPr>
      <w:bookmarkStart w:id="0" w:name="Body"/>
      <w:bookmarkEnd w:id="0"/>
    </w:p>
    <w:p w14:paraId="2F9368E7" w14:textId="77777777" w:rsidR="00662E39" w:rsidRPr="00662E39" w:rsidRDefault="00662E39" w:rsidP="00662E39">
      <w:pPr>
        <w:pStyle w:val="Italics"/>
        <w:numPr>
          <w:ilvl w:val="0"/>
          <w:numId w:val="4"/>
        </w:numPr>
      </w:pPr>
      <w:r w:rsidRPr="00662E39">
        <w:rPr>
          <w:b/>
          <w:bCs/>
        </w:rPr>
        <w:t>Matter:</w:t>
      </w:r>
      <w:r w:rsidRPr="00662E39">
        <w:t xml:space="preserve"> Gandfors ats Quilter &amp; Anor</w:t>
      </w:r>
      <w:r w:rsidRPr="00662E39">
        <w:br/>
      </w:r>
      <w:r w:rsidRPr="00662E39">
        <w:rPr>
          <w:b/>
          <w:bCs/>
        </w:rPr>
        <w:t>Client:</w:t>
      </w:r>
      <w:r w:rsidRPr="00662E39">
        <w:t xml:space="preserve"> Alf Evert Roger Gandfors / Gandfors Pty Ltd</w:t>
      </w:r>
      <w:r w:rsidRPr="00662E39">
        <w:br/>
      </w:r>
      <w:r w:rsidRPr="00662E39">
        <w:rPr>
          <w:b/>
          <w:bCs/>
        </w:rPr>
        <w:t>File No:</w:t>
      </w:r>
      <w:r w:rsidRPr="00662E39">
        <w:t xml:space="preserve"> MKH:262156</w:t>
      </w:r>
      <w:r w:rsidRPr="00662E39">
        <w:br/>
      </w:r>
      <w:r w:rsidRPr="00662E39">
        <w:rPr>
          <w:b/>
          <w:bCs/>
        </w:rPr>
        <w:t>Date:</w:t>
      </w:r>
      <w:r w:rsidRPr="00662E39">
        <w:t xml:space="preserve"> 30 January 2026</w:t>
      </w:r>
      <w:r w:rsidRPr="00662E39">
        <w:br/>
      </w:r>
      <w:r w:rsidRPr="00662E39">
        <w:rPr>
          <w:b/>
          <w:bCs/>
        </w:rPr>
        <w:t>Author:</w:t>
      </w:r>
      <w:r w:rsidRPr="00662E39">
        <w:t xml:space="preserve"> Mark Harley</w:t>
      </w:r>
    </w:p>
    <w:p w14:paraId="452C254F" w14:textId="77777777" w:rsidR="00662E39" w:rsidRPr="00662E39" w:rsidRDefault="00662E39" w:rsidP="00662E39">
      <w:pPr>
        <w:pStyle w:val="Italics"/>
        <w:rPr>
          <w:b/>
          <w:bCs/>
        </w:rPr>
      </w:pPr>
      <w:r w:rsidRPr="00662E39">
        <w:rPr>
          <w:b/>
          <w:bCs/>
        </w:rPr>
        <w:t>Subject</w:t>
      </w:r>
    </w:p>
    <w:p w14:paraId="49A014CD" w14:textId="77777777" w:rsidR="00662E39" w:rsidRPr="00662E39" w:rsidRDefault="00662E39" w:rsidP="00662E39">
      <w:pPr>
        <w:pStyle w:val="Italics"/>
        <w:numPr>
          <w:ilvl w:val="0"/>
          <w:numId w:val="4"/>
        </w:numPr>
      </w:pPr>
      <w:r w:rsidRPr="00662E39">
        <w:t>Research and advice regarding limitation of actions for trust claims under s 27 Limitation of Actions Act 1974 (Qld), including consideration of fraud, recovery of trust property, and relevant Queensland authorities.</w:t>
      </w:r>
    </w:p>
    <w:p w14:paraId="1D4AD2CB" w14:textId="77777777" w:rsidR="00662E39" w:rsidRPr="00662E39" w:rsidRDefault="00662E39" w:rsidP="00662E39">
      <w:pPr>
        <w:pStyle w:val="Italics"/>
        <w:rPr>
          <w:b/>
          <w:bCs/>
        </w:rPr>
      </w:pPr>
      <w:r w:rsidRPr="00662E39">
        <w:rPr>
          <w:b/>
          <w:bCs/>
        </w:rPr>
        <w:t>File Note</w:t>
      </w:r>
    </w:p>
    <w:p w14:paraId="5A8572D0" w14:textId="77777777" w:rsidR="00662E39" w:rsidRPr="00662E39" w:rsidRDefault="00662E39" w:rsidP="00662E39">
      <w:pPr>
        <w:pStyle w:val="Italics"/>
        <w:numPr>
          <w:ilvl w:val="0"/>
          <w:numId w:val="4"/>
        </w:numPr>
      </w:pPr>
      <w:r w:rsidRPr="00662E39">
        <w:t>Reviewed correspondence from Merton Lawyers dated 28 January 2026 alleging historical trust distributions and breach of trust arising from conduct said to have occurred principally between 2004 and 2013, with demand for production of trust documents and foreshadowed proceedings.</w:t>
      </w:r>
    </w:p>
    <w:p w14:paraId="4C9270D3" w14:textId="77777777" w:rsidR="00662E39" w:rsidRPr="00662E39" w:rsidRDefault="00662E39" w:rsidP="00662E39">
      <w:pPr>
        <w:pStyle w:val="Italics"/>
        <w:numPr>
          <w:ilvl w:val="0"/>
          <w:numId w:val="4"/>
        </w:numPr>
      </w:pPr>
      <w:r w:rsidRPr="00662E39">
        <w:t xml:space="preserve">Conducted legal research into the operation of </w:t>
      </w:r>
      <w:r w:rsidRPr="00662E39">
        <w:rPr>
          <w:b/>
          <w:bCs/>
        </w:rPr>
        <w:t>s 27 of the Limitation of Actions Act 1974 (Qld)</w:t>
      </w:r>
      <w:r w:rsidRPr="00662E39">
        <w:t>, with particular focus on:</w:t>
      </w:r>
    </w:p>
    <w:p w14:paraId="28FF31A2" w14:textId="77777777" w:rsidR="00662E39" w:rsidRPr="00662E39" w:rsidRDefault="00662E39" w:rsidP="00662E39">
      <w:pPr>
        <w:pStyle w:val="Italics"/>
        <w:numPr>
          <w:ilvl w:val="0"/>
          <w:numId w:val="4"/>
        </w:numPr>
      </w:pPr>
      <w:r w:rsidRPr="00662E39">
        <w:t>the distinction between claims for recovery of trust property under s 27(1)(b) and claims for equitable compensation for breach of trust under s 27(2);</w:t>
      </w:r>
    </w:p>
    <w:p w14:paraId="611FEBAA" w14:textId="77777777" w:rsidR="00662E39" w:rsidRPr="00662E39" w:rsidRDefault="00662E39" w:rsidP="00662E39">
      <w:pPr>
        <w:pStyle w:val="Italics"/>
        <w:numPr>
          <w:ilvl w:val="0"/>
          <w:numId w:val="4"/>
        </w:numPr>
      </w:pPr>
      <w:r w:rsidRPr="00662E39">
        <w:t>the scope and meaning of “fraud or fraudulent breach of trust” under s 27(1)(a);</w:t>
      </w:r>
    </w:p>
    <w:p w14:paraId="20A0D477" w14:textId="77777777" w:rsidR="00662E39" w:rsidRPr="00662E39" w:rsidRDefault="00662E39" w:rsidP="00662E39">
      <w:pPr>
        <w:pStyle w:val="Italics"/>
        <w:numPr>
          <w:ilvl w:val="0"/>
          <w:numId w:val="4"/>
        </w:numPr>
      </w:pPr>
      <w:r w:rsidRPr="00662E39">
        <w:t>the continued operation of equitable defences including laches, acquiescence and forensic prejudice notwithstanding s 27(1); and</w:t>
      </w:r>
    </w:p>
    <w:p w14:paraId="5503AECC" w14:textId="77777777" w:rsidR="00662E39" w:rsidRPr="00662E39" w:rsidRDefault="00662E39" w:rsidP="00662E39">
      <w:pPr>
        <w:pStyle w:val="Italics"/>
        <w:numPr>
          <w:ilvl w:val="0"/>
          <w:numId w:val="4"/>
        </w:numPr>
      </w:pPr>
      <w:r w:rsidRPr="00662E39">
        <w:t>the relevance of alleged “paper distributions” or tax-driven trust arrangements to any allegation of fraud.</w:t>
      </w:r>
    </w:p>
    <w:p w14:paraId="0955B296" w14:textId="77777777" w:rsidR="00662E39" w:rsidRPr="00662E39" w:rsidRDefault="00662E39" w:rsidP="00662E39">
      <w:pPr>
        <w:pStyle w:val="Italics"/>
        <w:numPr>
          <w:ilvl w:val="0"/>
          <w:numId w:val="4"/>
        </w:numPr>
      </w:pPr>
      <w:r w:rsidRPr="00662E39">
        <w:t xml:space="preserve">Reviewed and analysed </w:t>
      </w:r>
      <w:r w:rsidRPr="00662E39">
        <w:rPr>
          <w:b/>
          <w:bCs/>
        </w:rPr>
        <w:t>Menegazzo v PricewaterhouseCoopers (A Firm) [2016] QSC 94</w:t>
      </w:r>
      <w:r w:rsidRPr="00662E39">
        <w:t>, including Justice Wilson’s treatment of s 27 and the requirement that, for s 27(1)(b) to apply, trust property or its proceeds must be identifiable and presently held by the trustee. Noted that claims characterised in substance as claims for monetary compensation, rather than recovery of specific trust property, fall within s 27(2) and are subject to a six-year limitation period.</w:t>
      </w:r>
    </w:p>
    <w:p w14:paraId="37B0DC3D" w14:textId="77777777" w:rsidR="00662E39" w:rsidRPr="00662E39" w:rsidRDefault="00662E39" w:rsidP="00662E39">
      <w:pPr>
        <w:pStyle w:val="Italics"/>
        <w:numPr>
          <w:ilvl w:val="0"/>
          <w:numId w:val="4"/>
        </w:numPr>
      </w:pPr>
      <w:r w:rsidRPr="00662E39">
        <w:t>Considered additional Queensland authority confirming that:</w:t>
      </w:r>
    </w:p>
    <w:p w14:paraId="16FDEF66" w14:textId="77777777" w:rsidR="00662E39" w:rsidRPr="00662E39" w:rsidRDefault="00662E39" w:rsidP="00662E39">
      <w:pPr>
        <w:pStyle w:val="Italics"/>
        <w:numPr>
          <w:ilvl w:val="0"/>
          <w:numId w:val="5"/>
        </w:numPr>
      </w:pPr>
      <w:r w:rsidRPr="00662E39">
        <w:t>fraud must be actual and specifically pleaded, and is not established merely by aggressive tax planning or historical trust accounting practices;</w:t>
      </w:r>
    </w:p>
    <w:p w14:paraId="26D5CA5D" w14:textId="77777777" w:rsidR="00662E39" w:rsidRPr="00662E39" w:rsidRDefault="00662E39" w:rsidP="00662E39">
      <w:pPr>
        <w:pStyle w:val="Italics"/>
        <w:numPr>
          <w:ilvl w:val="0"/>
          <w:numId w:val="5"/>
        </w:numPr>
      </w:pPr>
      <w:r w:rsidRPr="00662E39">
        <w:t>beneficiaries who signed tax returns and were assessed on trust income face difficulty alleging deception or concealment; and</w:t>
      </w:r>
    </w:p>
    <w:p w14:paraId="72C10F00" w14:textId="77777777" w:rsidR="00662E39" w:rsidRPr="00662E39" w:rsidRDefault="00662E39" w:rsidP="00662E39">
      <w:pPr>
        <w:pStyle w:val="Italics"/>
        <w:numPr>
          <w:ilvl w:val="0"/>
          <w:numId w:val="5"/>
        </w:numPr>
      </w:pPr>
      <w:r w:rsidRPr="00662E39">
        <w:t>long delay (13–22 years) gives rise to strong equitable defences based on prejudice, loss of records and faded recollection.</w:t>
      </w:r>
    </w:p>
    <w:p w14:paraId="73695C32" w14:textId="77777777" w:rsidR="00662E39" w:rsidRPr="00662E39" w:rsidRDefault="00662E39" w:rsidP="00662E39">
      <w:pPr>
        <w:pStyle w:val="Italics"/>
        <w:numPr>
          <w:ilvl w:val="0"/>
          <w:numId w:val="4"/>
        </w:numPr>
      </w:pPr>
      <w:r w:rsidRPr="00662E39">
        <w:t xml:space="preserve">Formed preliminary view that, on the allegations as presently framed, most orthodox causes of action would be statute-barred and that any attempt to rely on s 27(1) would require strict pleading of fraud or tracing, both of which appear contestable. These issues were reflected in </w:t>
      </w:r>
      <w:r w:rsidRPr="00662E39">
        <w:lastRenderedPageBreak/>
        <w:t>correspondence sent to Merton Lawyers requesting proper articulation of causes of action and supporting material.</w:t>
      </w:r>
    </w:p>
    <w:p w14:paraId="46A8F2C2" w14:textId="77777777" w:rsidR="00662E39" w:rsidRDefault="00662E39" w:rsidP="00B0741B">
      <w:pPr>
        <w:pStyle w:val="Italics"/>
        <w:rPr>
          <w:i w:val="0"/>
          <w:iCs w:val="0"/>
        </w:rPr>
      </w:pPr>
    </w:p>
    <w:p w14:paraId="019A9501" w14:textId="77777777" w:rsidR="00662E39" w:rsidRDefault="00662E39" w:rsidP="00B0741B">
      <w:pPr>
        <w:pStyle w:val="Italics"/>
        <w:rPr>
          <w:i w:val="0"/>
          <w:iCs w:val="0"/>
        </w:rPr>
      </w:pPr>
    </w:p>
    <w:p w14:paraId="628811A2" w14:textId="731AB664" w:rsidR="00662E39" w:rsidRDefault="00662E39" w:rsidP="00B0741B">
      <w:pPr>
        <w:pStyle w:val="Italics"/>
        <w:rPr>
          <w:i w:val="0"/>
          <w:iCs w:val="0"/>
        </w:rPr>
      </w:pPr>
      <w:r>
        <w:rPr>
          <w:i w:val="0"/>
          <w:iCs w:val="0"/>
        </w:rPr>
        <w:t>13 units</w:t>
      </w:r>
    </w:p>
    <w:p w14:paraId="7CEB3215" w14:textId="67A89EC6" w:rsidR="00662E39" w:rsidRPr="00B0741B" w:rsidRDefault="00662E39" w:rsidP="00B0741B">
      <w:pPr>
        <w:pStyle w:val="Italics"/>
        <w:rPr>
          <w:i w:val="0"/>
          <w:iCs w:val="0"/>
        </w:rPr>
      </w:pPr>
      <w:r>
        <w:rPr>
          <w:i w:val="0"/>
          <w:iCs w:val="0"/>
        </w:rPr>
        <w:t>MKH</w:t>
      </w:r>
    </w:p>
    <w:sectPr w:rsidR="00662E39" w:rsidRPr="00B0741B">
      <w:headerReference w:type="even" r:id="rId7"/>
      <w:headerReference w:type="default" r:id="rId8"/>
      <w:footerReference w:type="even" r:id="rId9"/>
      <w:footerReference w:type="default" r:id="rId10"/>
      <w:headerReference w:type="first" r:id="rId11"/>
      <w:footerReference w:type="first" r:id="rId12"/>
      <w:pgSz w:w="11907" w:h="16840" w:code="9"/>
      <w:pgMar w:top="1440" w:right="1418" w:bottom="1440" w:left="1418" w:header="720" w:footer="5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A7931" w14:textId="77777777" w:rsidR="009243AA" w:rsidRDefault="009243AA">
      <w:r>
        <w:separator/>
      </w:r>
    </w:p>
  </w:endnote>
  <w:endnote w:type="continuationSeparator" w:id="0">
    <w:p w14:paraId="178EB0DF" w14:textId="77777777" w:rsidR="009243AA" w:rsidRDefault="0092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2C22C" w14:textId="77777777" w:rsidR="007A7427" w:rsidRDefault="007A74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A152" w14:textId="79925128" w:rsidR="007911F2" w:rsidRDefault="007911F2">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931C" w14:textId="77777777" w:rsidR="007A7427" w:rsidRDefault="007A7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EEDCC" w14:textId="77777777" w:rsidR="009243AA" w:rsidRDefault="009243AA">
      <w:r>
        <w:separator/>
      </w:r>
    </w:p>
  </w:footnote>
  <w:footnote w:type="continuationSeparator" w:id="0">
    <w:p w14:paraId="69EC8F30" w14:textId="77777777" w:rsidR="009243AA" w:rsidRDefault="00924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71B9" w14:textId="77777777" w:rsidR="007A7427" w:rsidRDefault="007A74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7EC0" w14:textId="3DF08703" w:rsidR="00D1385A" w:rsidRDefault="00D1385A">
    <w:pPr>
      <w:pStyle w:val="Header"/>
    </w:pPr>
    <w:r>
      <w:rPr>
        <w:rFonts w:hint="eastAsia"/>
        <w:noProof/>
        <w:lang w:eastAsia="en-AU"/>
      </w:rPr>
      <w:drawing>
        <wp:anchor distT="0" distB="0" distL="114300" distR="114300" simplePos="0" relativeHeight="251659264" behindDoc="1" locked="0" layoutInCell="1" allowOverlap="1" wp14:anchorId="1BE17754" wp14:editId="4F786411">
          <wp:simplePos x="0" y="0"/>
          <wp:positionH relativeFrom="page">
            <wp:align>left</wp:align>
          </wp:positionH>
          <wp:positionV relativeFrom="paragraph">
            <wp:posOffset>-454025</wp:posOffset>
          </wp:positionV>
          <wp:extent cx="7559040" cy="10692384"/>
          <wp:effectExtent l="0" t="0" r="3810" b="0"/>
          <wp:wrapNone/>
          <wp:docPr id="3" name="Picture 3"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238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2C93977" w14:textId="4EA5C0CD" w:rsidR="00D1385A" w:rsidRDefault="00D1385A">
    <w:pPr>
      <w:pStyle w:val="Header"/>
    </w:pPr>
  </w:p>
  <w:p w14:paraId="52BBC359" w14:textId="77FEA151" w:rsidR="00D1385A" w:rsidRDefault="00D1385A">
    <w:pPr>
      <w:pStyle w:val="Header"/>
    </w:pPr>
  </w:p>
  <w:p w14:paraId="6A673A24" w14:textId="6DB73A10" w:rsidR="00D1385A" w:rsidRDefault="00D1385A">
    <w:pPr>
      <w:pStyle w:val="Header"/>
    </w:pPr>
  </w:p>
  <w:p w14:paraId="3271F907" w14:textId="070366D6" w:rsidR="00D1385A" w:rsidRDefault="00D1385A">
    <w:pPr>
      <w:pStyle w:val="Header"/>
    </w:pPr>
  </w:p>
  <w:p w14:paraId="7517F079" w14:textId="7E4BD327" w:rsidR="007911F2" w:rsidRDefault="007911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B558" w14:textId="77777777" w:rsidR="007A7427" w:rsidRDefault="007A74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21663"/>
    <w:multiLevelType w:val="multilevel"/>
    <w:tmpl w:val="25F0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B653E4"/>
    <w:multiLevelType w:val="multilevel"/>
    <w:tmpl w:val="0DE2E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C0DEE"/>
    <w:multiLevelType w:val="hybridMultilevel"/>
    <w:tmpl w:val="C5FAB734"/>
    <w:lvl w:ilvl="0" w:tplc="E4A6698A">
      <w:start w:val="1"/>
      <w:numFmt w:val="bullet"/>
      <w:pStyle w:val="Bullets"/>
      <w:lvlText w:val=""/>
      <w:lvlJc w:val="left"/>
      <w:pPr>
        <w:ind w:left="352" w:firstLine="11"/>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3CD0038"/>
    <w:multiLevelType w:val="multilevel"/>
    <w:tmpl w:val="365A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F26693"/>
    <w:multiLevelType w:val="hybridMultilevel"/>
    <w:tmpl w:val="4E9C2D0C"/>
    <w:lvl w:ilvl="0" w:tplc="8B6AD2B8">
      <w:start w:val="1"/>
      <w:numFmt w:val="decimal"/>
      <w:pStyle w:val="NumberedParagraph"/>
      <w:lvlText w:val="%1."/>
      <w:lvlJc w:val="left"/>
      <w:pPr>
        <w:tabs>
          <w:tab w:val="num" w:pos="340"/>
        </w:tabs>
        <w:ind w:left="360" w:hanging="360"/>
      </w:pPr>
      <w:rPr>
        <w:rFonts w:hint="default"/>
      </w:rPr>
    </w:lvl>
    <w:lvl w:ilvl="1" w:tplc="A9A0F052">
      <w:start w:val="1"/>
      <w:numFmt w:val="lowerLetter"/>
      <w:pStyle w:val="subpara"/>
      <w:lvlText w:val="(%2)"/>
      <w:lvlJc w:val="left"/>
      <w:pPr>
        <w:ind w:left="720" w:hanging="363"/>
      </w:pPr>
      <w:rPr>
        <w:rFonts w:hint="default"/>
      </w:rPr>
    </w:lvl>
    <w:lvl w:ilvl="2" w:tplc="77FEAFA6">
      <w:start w:val="1"/>
      <w:numFmt w:val="lowerRoman"/>
      <w:pStyle w:val="subpara2"/>
      <w:lvlText w:val="(%3)"/>
      <w:lvlJc w:val="right"/>
      <w:pPr>
        <w:tabs>
          <w:tab w:val="num" w:pos="1089"/>
        </w:tabs>
        <w:ind w:left="1032" w:hanging="159"/>
      </w:pPr>
    </w:lvl>
    <w:lvl w:ilvl="3" w:tplc="66D6A4EE">
      <w:start w:val="1"/>
      <w:numFmt w:val="decimal"/>
      <w:lvlText w:val="%4."/>
      <w:lvlJc w:val="left"/>
      <w:pPr>
        <w:ind w:left="36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8140279">
    <w:abstractNumId w:val="4"/>
  </w:num>
  <w:num w:numId="2" w16cid:durableId="1989506156">
    <w:abstractNumId w:val="2"/>
  </w:num>
  <w:num w:numId="3" w16cid:durableId="636028877">
    <w:abstractNumId w:val="1"/>
  </w:num>
  <w:num w:numId="4" w16cid:durableId="166097768">
    <w:abstractNumId w:val="3"/>
  </w:num>
  <w:num w:numId="5" w16cid:durableId="10299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APTempPath" w:val="C:\Users\Boss\AppData\Local\LEAP Desktop\CDE\aeb2c8b2-22cc-4d67-9eb7-5f5e19c89148\LEAP2Office\MacroFields\"/>
    <w:docVar w:name="LEAPUniqueCode" w:val="ef3dd6b3-6191-df48-b1a4-c47eed7612b8"/>
    <w:docVar w:name="WeHidTheRibbon" w:val="False"/>
  </w:docVars>
  <w:rsids>
    <w:rsidRoot w:val="009459FB"/>
    <w:rsid w:val="00045DBB"/>
    <w:rsid w:val="000E1792"/>
    <w:rsid w:val="001A7F52"/>
    <w:rsid w:val="0023515E"/>
    <w:rsid w:val="003A0529"/>
    <w:rsid w:val="003E4F29"/>
    <w:rsid w:val="004D5109"/>
    <w:rsid w:val="004F35DF"/>
    <w:rsid w:val="0051561B"/>
    <w:rsid w:val="005926E6"/>
    <w:rsid w:val="005E7826"/>
    <w:rsid w:val="006127F6"/>
    <w:rsid w:val="0062178F"/>
    <w:rsid w:val="00662E39"/>
    <w:rsid w:val="0071254D"/>
    <w:rsid w:val="007911F2"/>
    <w:rsid w:val="007A7427"/>
    <w:rsid w:val="009243AA"/>
    <w:rsid w:val="009459FB"/>
    <w:rsid w:val="009F425D"/>
    <w:rsid w:val="00A07943"/>
    <w:rsid w:val="00B0741B"/>
    <w:rsid w:val="00B34422"/>
    <w:rsid w:val="00B80B3D"/>
    <w:rsid w:val="00CA448F"/>
    <w:rsid w:val="00D12731"/>
    <w:rsid w:val="00D1385A"/>
    <w:rsid w:val="00E05793"/>
    <w:rsid w:val="00E727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0F10D"/>
  <w15:chartTrackingRefBased/>
  <w15:docId w15:val="{9B720278-0C49-4938-A9D9-B4922C09D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41B"/>
    <w:rPr>
      <w:rFonts w:ascii="Arial" w:hAnsi="Arial"/>
      <w:lang w:eastAsia="en-US"/>
    </w:rPr>
  </w:style>
  <w:style w:type="paragraph" w:styleId="Heading1">
    <w:name w:val="heading 1"/>
    <w:basedOn w:val="Normal"/>
    <w:next w:val="Normal"/>
    <w:pPr>
      <w:keepNext/>
      <w:spacing w:before="240" w:after="60"/>
      <w:outlineLvl w:val="0"/>
    </w:pPr>
    <w:rPr>
      <w:b/>
      <w:kern w:val="28"/>
      <w:sz w:val="28"/>
    </w:rPr>
  </w:style>
  <w:style w:type="paragraph" w:styleId="Heading2">
    <w:name w:val="heading 2"/>
    <w:basedOn w:val="Normal"/>
    <w:next w:val="Normal"/>
    <w:link w:val="Heading2Char"/>
    <w:uiPriority w:val="9"/>
    <w:semiHidden/>
    <w:unhideWhenUsed/>
    <w:rsid w:val="00662E3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62E3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NumberedParagraph">
    <w:name w:val="Numbered Paragraph"/>
    <w:basedOn w:val="Normal"/>
    <w:link w:val="NumberedParagraphChar"/>
    <w:autoRedefine/>
    <w:qFormat/>
    <w:rsid w:val="00B0741B"/>
    <w:pPr>
      <w:numPr>
        <w:numId w:val="1"/>
      </w:numPr>
      <w:spacing w:before="120" w:after="120" w:line="288" w:lineRule="auto"/>
      <w:ind w:left="357" w:hanging="357"/>
    </w:pPr>
    <w:rPr>
      <w:rFonts w:cs="Arial"/>
    </w:rPr>
  </w:style>
  <w:style w:type="character" w:customStyle="1" w:styleId="NumberedParagraphChar">
    <w:name w:val="Numbered Paragraph Char"/>
    <w:basedOn w:val="DefaultParagraphFont"/>
    <w:link w:val="NumberedParagraph"/>
    <w:rsid w:val="00B0741B"/>
    <w:rPr>
      <w:rFonts w:ascii="Arial" w:hAnsi="Arial" w:cs="Arial"/>
      <w:lang w:eastAsia="en-US"/>
    </w:rPr>
  </w:style>
  <w:style w:type="paragraph" w:customStyle="1" w:styleId="Bold">
    <w:name w:val="Bold"/>
    <w:basedOn w:val="Normal"/>
    <w:link w:val="BoldChar"/>
    <w:qFormat/>
    <w:rsid w:val="00B0741B"/>
    <w:pPr>
      <w:spacing w:line="288" w:lineRule="auto"/>
    </w:pPr>
    <w:rPr>
      <w:b/>
      <w:iCs/>
    </w:rPr>
  </w:style>
  <w:style w:type="paragraph" w:customStyle="1" w:styleId="Bullets">
    <w:name w:val="Bullets"/>
    <w:basedOn w:val="NumberedParagraph"/>
    <w:link w:val="BulletsChar"/>
    <w:qFormat/>
    <w:rsid w:val="00B0741B"/>
    <w:pPr>
      <w:numPr>
        <w:numId w:val="2"/>
      </w:numPr>
    </w:pPr>
  </w:style>
  <w:style w:type="character" w:customStyle="1" w:styleId="BulletsChar">
    <w:name w:val="Bullets Char"/>
    <w:basedOn w:val="NumberedParagraphChar"/>
    <w:link w:val="Bullets"/>
    <w:rsid w:val="00B0741B"/>
    <w:rPr>
      <w:rFonts w:ascii="Arial" w:hAnsi="Arial" w:cs="Arial"/>
      <w:lang w:eastAsia="en-US"/>
    </w:rPr>
  </w:style>
  <w:style w:type="paragraph" w:customStyle="1" w:styleId="subpara">
    <w:name w:val="sub para"/>
    <w:basedOn w:val="NumberedParagraph"/>
    <w:link w:val="subparaChar"/>
    <w:qFormat/>
    <w:rsid w:val="00B0741B"/>
    <w:pPr>
      <w:numPr>
        <w:ilvl w:val="1"/>
      </w:numPr>
    </w:pPr>
  </w:style>
  <w:style w:type="character" w:customStyle="1" w:styleId="subparaChar">
    <w:name w:val="sub para Char"/>
    <w:basedOn w:val="NumberedParagraphChar"/>
    <w:link w:val="subpara"/>
    <w:rsid w:val="00B0741B"/>
    <w:rPr>
      <w:rFonts w:ascii="Arial" w:hAnsi="Arial" w:cs="Arial"/>
      <w:lang w:eastAsia="en-US"/>
    </w:rPr>
  </w:style>
  <w:style w:type="paragraph" w:customStyle="1" w:styleId="subpara2">
    <w:name w:val="sub para 2"/>
    <w:basedOn w:val="subpara"/>
    <w:link w:val="subpara2Char"/>
    <w:qFormat/>
    <w:rsid w:val="00B0741B"/>
    <w:pPr>
      <w:numPr>
        <w:ilvl w:val="2"/>
      </w:numPr>
    </w:pPr>
  </w:style>
  <w:style w:type="character" w:customStyle="1" w:styleId="subpara2Char">
    <w:name w:val="sub para 2 Char"/>
    <w:basedOn w:val="subparaChar"/>
    <w:link w:val="subpara2"/>
    <w:rsid w:val="00B0741B"/>
    <w:rPr>
      <w:rFonts w:ascii="Arial" w:hAnsi="Arial" w:cs="Arial"/>
      <w:lang w:eastAsia="en-US"/>
    </w:rPr>
  </w:style>
  <w:style w:type="character" w:customStyle="1" w:styleId="BoldChar">
    <w:name w:val="Bold Char"/>
    <w:basedOn w:val="DefaultParagraphFont"/>
    <w:link w:val="Bold"/>
    <w:rsid w:val="00B0741B"/>
    <w:rPr>
      <w:rFonts w:ascii="Arial" w:hAnsi="Arial"/>
      <w:b/>
      <w:iCs/>
      <w:lang w:eastAsia="en-US"/>
    </w:rPr>
  </w:style>
  <w:style w:type="paragraph" w:customStyle="1" w:styleId="Italics">
    <w:name w:val="Italics"/>
    <w:basedOn w:val="Normal"/>
    <w:link w:val="ItalicsChar"/>
    <w:qFormat/>
    <w:rsid w:val="00B0741B"/>
    <w:pPr>
      <w:spacing w:line="288" w:lineRule="auto"/>
    </w:pPr>
    <w:rPr>
      <w:i/>
      <w:iCs/>
    </w:rPr>
  </w:style>
  <w:style w:type="character" w:customStyle="1" w:styleId="ItalicsChar">
    <w:name w:val="Italics Char"/>
    <w:basedOn w:val="DefaultParagraphFont"/>
    <w:link w:val="Italics"/>
    <w:rsid w:val="00B0741B"/>
    <w:rPr>
      <w:rFonts w:ascii="Arial" w:hAnsi="Arial"/>
      <w:i/>
      <w:iCs/>
      <w:lang w:eastAsia="en-US"/>
    </w:rPr>
  </w:style>
  <w:style w:type="paragraph" w:styleId="IntenseQuote">
    <w:name w:val="Intense Quote"/>
    <w:aliases w:val="Research Heading"/>
    <w:basedOn w:val="Normal"/>
    <w:next w:val="Normal"/>
    <w:link w:val="IntenseQuoteChar"/>
    <w:uiPriority w:val="30"/>
    <w:rsid w:val="00B0741B"/>
    <w:pPr>
      <w:pBdr>
        <w:top w:val="single" w:sz="4" w:space="10" w:color="auto"/>
        <w:left w:val="single" w:sz="4" w:space="4" w:color="auto"/>
        <w:bottom w:val="single" w:sz="4" w:space="10" w:color="auto"/>
        <w:right w:val="single" w:sz="4" w:space="4" w:color="auto"/>
      </w:pBdr>
      <w:spacing w:before="360" w:after="360"/>
      <w:ind w:left="864" w:right="864"/>
      <w:jc w:val="center"/>
    </w:pPr>
    <w:rPr>
      <w:iCs/>
    </w:rPr>
  </w:style>
  <w:style w:type="character" w:customStyle="1" w:styleId="IntenseQuoteChar">
    <w:name w:val="Intense Quote Char"/>
    <w:aliases w:val="Research Heading Char"/>
    <w:basedOn w:val="DefaultParagraphFont"/>
    <w:link w:val="IntenseQuote"/>
    <w:uiPriority w:val="30"/>
    <w:rsid w:val="00B0741B"/>
    <w:rPr>
      <w:rFonts w:ascii="Arial" w:hAnsi="Arial"/>
      <w:iCs/>
      <w:lang w:eastAsia="en-US"/>
    </w:rPr>
  </w:style>
  <w:style w:type="paragraph" w:customStyle="1" w:styleId="ReserachHeading">
    <w:name w:val="Reserach Heading"/>
    <w:basedOn w:val="IntenseQuote"/>
    <w:link w:val="ReserachHeadingChar"/>
    <w:qFormat/>
    <w:rsid w:val="00B0741B"/>
  </w:style>
  <w:style w:type="character" w:customStyle="1" w:styleId="ReserachHeadingChar">
    <w:name w:val="Reserach Heading Char"/>
    <w:basedOn w:val="IntenseQuoteChar"/>
    <w:link w:val="ReserachHeading"/>
    <w:rsid w:val="00B0741B"/>
    <w:rPr>
      <w:rFonts w:ascii="Arial" w:hAnsi="Arial"/>
      <w:iCs/>
      <w:lang w:eastAsia="en-US"/>
    </w:rPr>
  </w:style>
  <w:style w:type="character" w:styleId="Hyperlink">
    <w:name w:val="Hyperlink"/>
    <w:basedOn w:val="DefaultParagraphFont"/>
    <w:uiPriority w:val="99"/>
    <w:unhideWhenUsed/>
    <w:rsid w:val="007A7427"/>
    <w:rPr>
      <w:color w:val="0563C1" w:themeColor="hyperlink"/>
      <w:u w:val="single"/>
    </w:rPr>
  </w:style>
  <w:style w:type="character" w:styleId="UnresolvedMention">
    <w:name w:val="Unresolved Mention"/>
    <w:basedOn w:val="DefaultParagraphFont"/>
    <w:uiPriority w:val="99"/>
    <w:semiHidden/>
    <w:unhideWhenUsed/>
    <w:rsid w:val="007A7427"/>
    <w:rPr>
      <w:color w:val="605E5C"/>
      <w:shd w:val="clear" w:color="auto" w:fill="E1DFDD"/>
    </w:rPr>
  </w:style>
  <w:style w:type="character" w:customStyle="1" w:styleId="Heading2Char">
    <w:name w:val="Heading 2 Char"/>
    <w:basedOn w:val="DefaultParagraphFont"/>
    <w:link w:val="Heading2"/>
    <w:uiPriority w:val="9"/>
    <w:semiHidden/>
    <w:rsid w:val="00662E39"/>
    <w:rPr>
      <w:rFonts w:asciiTheme="majorHAnsi" w:eastAsiaTheme="majorEastAsia" w:hAnsiTheme="majorHAnsi" w:cstheme="majorBidi"/>
      <w:color w:val="2E74B5" w:themeColor="accent1" w:themeShade="BF"/>
      <w:sz w:val="26"/>
      <w:szCs w:val="26"/>
      <w:lang w:eastAsia="en-US"/>
    </w:rPr>
  </w:style>
  <w:style w:type="character" w:customStyle="1" w:styleId="Heading3Char">
    <w:name w:val="Heading 3 Char"/>
    <w:basedOn w:val="DefaultParagraphFont"/>
    <w:link w:val="Heading3"/>
    <w:uiPriority w:val="9"/>
    <w:semiHidden/>
    <w:rsid w:val="00662E39"/>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507043">
      <w:bodyDiv w:val="1"/>
      <w:marLeft w:val="0"/>
      <w:marRight w:val="0"/>
      <w:marTop w:val="0"/>
      <w:marBottom w:val="0"/>
      <w:divBdr>
        <w:top w:val="none" w:sz="0" w:space="0" w:color="auto"/>
        <w:left w:val="none" w:sz="0" w:space="0" w:color="auto"/>
        <w:bottom w:val="none" w:sz="0" w:space="0" w:color="auto"/>
        <w:right w:val="none" w:sz="0" w:space="0" w:color="auto"/>
      </w:divBdr>
    </w:div>
    <w:div w:id="198488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2301</Characters>
  <Application>Microsoft Office Word</Application>
  <DocSecurity>0</DocSecurity>
  <Lines>19</Lines>
  <Paragraphs>5</Paragraphs>
  <ScaleCrop>false</ScaleCrop>
  <HeadingPairs>
    <vt:vector size="4" baseType="variant">
      <vt:variant>
        <vt:lpstr>Title</vt:lpstr>
      </vt:variant>
      <vt:variant>
        <vt:i4>1</vt:i4>
      </vt:variant>
      <vt:variant>
        <vt:lpstr>File Note</vt:lpstr>
      </vt:variant>
      <vt:variant>
        <vt:i4>0</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Harley</dc:creator>
  <cp:keywords/>
  <dc:description/>
  <cp:lastModifiedBy>Mark Harley</cp:lastModifiedBy>
  <cp:revision>2</cp:revision>
  <dcterms:created xsi:type="dcterms:W3CDTF">2026-05-01T00:41:00Z</dcterms:created>
  <dcterms:modified xsi:type="dcterms:W3CDTF">2026-05-01T00:41:00Z</dcterms:modified>
</cp:coreProperties>
</file>